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i w:val="0"/>
          <w:iCs w:val="0"/>
          <w:caps w:val="0"/>
          <w:color w:val="auto"/>
          <w:spacing w:val="0"/>
          <w:sz w:val="32"/>
          <w:szCs w:val="32"/>
          <w:shd w:val="clear" w:fill="FFFFFF"/>
          <w:lang w:val="en-US"/>
        </w:rPr>
      </w:pPr>
      <w:r>
        <w:rPr>
          <w:rFonts w:hint="eastAsia" w:ascii="黑体" w:hAnsi="黑体" w:eastAsia="黑体" w:cs="黑体"/>
          <w:b w:val="0"/>
          <w:bCs/>
          <w:color w:val="auto"/>
          <w:sz w:val="32"/>
          <w:szCs w:val="32"/>
          <w:lang w:val="en-US" w:eastAsia="zh-CN"/>
        </w:rPr>
        <w:t>附件5</w:t>
      </w:r>
    </w:p>
    <w:p>
      <w:pPr>
        <w:pStyle w:val="2"/>
        <w:keepNext w:val="0"/>
        <w:keepLines w:val="0"/>
        <w:pageBreakBefore w:val="0"/>
        <w:widowControl w:val="0"/>
        <w:suppressLineNumbers w:val="0"/>
        <w:pBdr>
          <w:top w:val="none" w:color="auto" w:sz="0" w:space="0"/>
          <w:left w:val="none" w:color="auto" w:sz="0" w:space="0"/>
          <w:bottom w:val="single" w:color="E6E6E6" w:sz="6" w:space="15"/>
          <w:right w:val="none" w:color="auto" w:sz="0" w:space="0"/>
        </w:pBdr>
        <w:shd w:val="clear" w:fill="FFFFFF"/>
        <w:kinsoku/>
        <w:wordWrap/>
        <w:overflowPunct/>
        <w:topLinePunct w:val="0"/>
        <w:autoSpaceDE/>
        <w:autoSpaceDN/>
        <w:bidi w:val="0"/>
        <w:adjustRightInd/>
        <w:snapToGrid/>
        <w:spacing w:before="0" w:beforeAutospacing="0" w:after="0" w:afterAutospacing="0" w:line="675" w:lineRule="atLeas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成人高等教育本科生学士学位英语水平</w:t>
      </w:r>
    </w:p>
    <w:p>
      <w:pPr>
        <w:pStyle w:val="2"/>
        <w:keepNext w:val="0"/>
        <w:keepLines w:val="0"/>
        <w:pageBreakBefore w:val="0"/>
        <w:widowControl w:val="0"/>
        <w:suppressLineNumbers w:val="0"/>
        <w:pBdr>
          <w:top w:val="none" w:color="auto" w:sz="0" w:space="0"/>
          <w:left w:val="none" w:color="auto" w:sz="0" w:space="0"/>
          <w:bottom w:val="single" w:color="E6E6E6" w:sz="6" w:space="15"/>
          <w:right w:val="none" w:color="auto" w:sz="0" w:space="0"/>
        </w:pBdr>
        <w:shd w:val="clear" w:fill="FFFFFF"/>
        <w:kinsoku/>
        <w:wordWrap/>
        <w:overflowPunct/>
        <w:topLinePunct w:val="0"/>
        <w:autoSpaceDE/>
        <w:autoSpaceDN/>
        <w:bidi w:val="0"/>
        <w:adjustRightInd/>
        <w:snapToGrid/>
        <w:spacing w:before="0" w:beforeAutospacing="0" w:after="0" w:afterAutospacing="0" w:line="675" w:lineRule="atLeas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考试大纲(非英语专业)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2250"/>
        <w:jc w:val="center"/>
        <w:textAlignment w:val="auto"/>
        <w:rPr>
          <w:b w:val="0"/>
          <w:bCs/>
          <w:color w:val="auto"/>
        </w:rPr>
      </w:pPr>
      <w:r>
        <w:rPr>
          <w:rStyle w:val="9"/>
          <w:rFonts w:hint="eastAsia" w:ascii="宋体" w:hAnsi="宋体" w:eastAsia="宋体" w:cs="宋体"/>
          <w:b w:val="0"/>
          <w:bCs/>
          <w:i w:val="0"/>
          <w:iCs w:val="0"/>
          <w:caps w:val="0"/>
          <w:color w:val="auto"/>
          <w:spacing w:val="0"/>
          <w:sz w:val="31"/>
          <w:szCs w:val="31"/>
          <w:shd w:val="clear" w:fill="FFFFFF"/>
        </w:rPr>
        <w:t>（</w:t>
      </w:r>
      <w:r>
        <w:rPr>
          <w:rStyle w:val="9"/>
          <w:rFonts w:hint="eastAsia" w:ascii="微软雅黑" w:hAnsi="微软雅黑" w:eastAsia="微软雅黑" w:cs="微软雅黑"/>
          <w:b w:val="0"/>
          <w:bCs/>
          <w:i w:val="0"/>
          <w:iCs w:val="0"/>
          <w:caps w:val="0"/>
          <w:color w:val="auto"/>
          <w:spacing w:val="0"/>
          <w:sz w:val="31"/>
          <w:szCs w:val="31"/>
          <w:shd w:val="clear" w:fill="FFFFFF"/>
        </w:rPr>
        <w:t>2016年12月第二版）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textAlignment w:val="auto"/>
        <w:rPr>
          <w:rStyle w:val="9"/>
          <w:rFonts w:hint="eastAsia" w:ascii="宋体" w:hAnsi="宋体" w:eastAsia="宋体" w:cs="宋体"/>
          <w:i w:val="0"/>
          <w:iCs w:val="0"/>
          <w:caps w:val="0"/>
          <w:color w:val="auto"/>
          <w:spacing w:val="0"/>
          <w:sz w:val="31"/>
          <w:szCs w:val="31"/>
          <w:shd w:val="clear" w:fill="FFFFFF"/>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textAlignment w:val="auto"/>
        <w:rPr>
          <w:rFonts w:hint="eastAsia" w:ascii="黑体" w:hAnsi="黑体" w:eastAsia="黑体" w:cs="黑体"/>
          <w:b w:val="0"/>
          <w:bCs/>
          <w:color w:val="auto"/>
          <w:sz w:val="32"/>
          <w:szCs w:val="32"/>
        </w:rPr>
      </w:pPr>
      <w:r>
        <w:rPr>
          <w:rStyle w:val="9"/>
          <w:rFonts w:hint="eastAsia" w:ascii="黑体" w:hAnsi="黑体" w:eastAsia="黑体" w:cs="黑体"/>
          <w:b w:val="0"/>
          <w:bCs/>
          <w:i w:val="0"/>
          <w:iCs w:val="0"/>
          <w:caps w:val="0"/>
          <w:color w:val="auto"/>
          <w:spacing w:val="0"/>
          <w:sz w:val="32"/>
          <w:szCs w:val="32"/>
          <w:shd w:val="clear" w:fill="FFFFFF"/>
        </w:rPr>
        <w:t>一、考试性质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成人高等教育非英语专业学士学位英语水平考试是由各省级高等教育主管部门组织的统一考试，其目的是为了客观地测试非英语专业成人本科毕业生申请学士学位者的英语语言知识和运用能力，考査其是否达到普通本科教育非英语专业英语教学的一般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textAlignment w:val="auto"/>
        <w:rPr>
          <w:rFonts w:hint="eastAsia" w:ascii="黑体" w:hAnsi="黑体" w:eastAsia="黑体" w:cs="黑体"/>
          <w:b w:val="0"/>
          <w:bCs/>
          <w:color w:val="auto"/>
          <w:sz w:val="32"/>
          <w:szCs w:val="32"/>
        </w:rPr>
      </w:pPr>
      <w:r>
        <w:rPr>
          <w:rStyle w:val="9"/>
          <w:rFonts w:hint="eastAsia" w:ascii="黑体" w:hAnsi="黑体" w:eastAsia="黑体" w:cs="黑体"/>
          <w:b w:val="0"/>
          <w:bCs/>
          <w:i w:val="0"/>
          <w:iCs w:val="0"/>
          <w:caps w:val="0"/>
          <w:color w:val="auto"/>
          <w:spacing w:val="0"/>
          <w:sz w:val="32"/>
          <w:szCs w:val="32"/>
          <w:shd w:val="clear" w:fill="FFFFFF"/>
        </w:rPr>
        <w:t>二、考试要求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成人高等教育非英语专业学士学位英语水平考试要求考生能够较熟练地掌握英语基本语法和常用词汇，具有较强的阅读能力和综合运用能力。考生在运用能力方面应分别达到以下要求：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i w:val="0"/>
          <w:iCs w:val="0"/>
          <w:caps w:val="0"/>
          <w:color w:val="auto"/>
          <w:spacing w:val="0"/>
          <w:sz w:val="32"/>
          <w:szCs w:val="32"/>
          <w:shd w:val="clear" w:fill="FFFFFF"/>
        </w:rPr>
        <w:t>（一） 会话</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能够使用英语进行日常会话交流，根据对话的情景、场合、人物关系、身份和讲话人的意图及话语含义做出正确判断和用语选择，并能理解常见的英语口语的习惯用法。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i w:val="0"/>
          <w:iCs w:val="0"/>
          <w:caps w:val="0"/>
          <w:color w:val="auto"/>
          <w:spacing w:val="0"/>
          <w:sz w:val="32"/>
          <w:szCs w:val="32"/>
          <w:shd w:val="clear" w:fill="FFFFFF"/>
        </w:rPr>
        <w:t>（二） 阅读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能够综合运用英语知识和基本阅读技能，读懂难度适中的一般性题材（经济、社会、政法、历史、科普、管理等）和体裁（记叙文、议论文、说 明文、应用文等）的英语文章。阅读速度达到每分钟80个词。具体要求为：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1.能够掌握文章的中心思想、主要内容和细节；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2.具备根据上下文把握词义的能力，理解上下文的逻辑关系；</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3.能够根据所读材料进行一定的推论；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4.能够对文章的结构和作者的态度等做出</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分析和判断。</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（三）词汇</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掌握本考试大纲所规定的英语词汇、常用词组、常用词缀，并在阅读、写作等过程中具有相应的应用能力，即：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1.领会式掌握4400个单词和550个常用词组；</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2.复用式掌握2000个左右的常用单词和搭配以及200个左右的常用词组；</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3.掌握一定数量的常用词缀，并能根据构词法和语境识别常见的派生词。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（四）语法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掌握基本的英语语法知识，要求能在阅读、写作等过程中正确运用这些知识，达到正确理解、获取信息及表达思想的目的。需要掌握的具体内容如下：</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1.名词、代词的数和格的构成及其用法；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2.动词的基本时态、语态的构成及其用法；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3.形容词、副词的比较级和最高级的构成及其用法；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4.常用连接词、冠词的词义及其用法；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5.非谓语动词（不定式、动名词、分词）的构成及其用法；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6.虚拟语气的构成及其用法；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7.各类从句的构成及其用法；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8.基本句型的结构及其用法；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9.强调句型的结构及其用法；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10.常用倒装句的结构及其用法。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（五）翻译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能够在不借助词典的情况下把一般难度、非专业性题材的英文句子或短文译成汉语，译文通顺，用词基本正确，无重大语法错误。英译汉的速度应达到每小时250词以上。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（六）写作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能够用英语撰写常见应用文，或能够按照所给提纲、情景或图表，说明或论述一般性的话题。所写短文要求主题明确，条理清楚，语言比较规范。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黑体" w:hAnsi="黑体" w:eastAsia="黑体" w:cs="黑体"/>
          <w:b w:val="0"/>
          <w:bCs/>
          <w:i w:val="0"/>
          <w:iCs w:val="0"/>
          <w:caps w:val="0"/>
          <w:color w:val="auto"/>
          <w:spacing w:val="0"/>
          <w:sz w:val="32"/>
          <w:szCs w:val="32"/>
          <w:shd w:val="clear" w:fill="FFFFFF"/>
        </w:rPr>
      </w:pPr>
      <w:r>
        <w:rPr>
          <w:rStyle w:val="9"/>
          <w:rFonts w:hint="eastAsia" w:ascii="黑体" w:hAnsi="黑体" w:eastAsia="黑体" w:cs="黑体"/>
          <w:b w:val="0"/>
          <w:bCs/>
          <w:i w:val="0"/>
          <w:iCs w:val="0"/>
          <w:caps w:val="0"/>
          <w:color w:val="auto"/>
          <w:spacing w:val="0"/>
          <w:sz w:val="32"/>
          <w:szCs w:val="32"/>
          <w:shd w:val="clear" w:fill="FFFFFF"/>
        </w:rPr>
        <w:t>三、试卷结构</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考试试卷分试卷一和试卷二。试卷一为客观题，包括完成对话、阅读理解及词汇和语法3个部分，考试时间为65分钟，满分为70分；试卷二为英译汉和短文写作，考试时间为55分钟，满分为30分。试卷一和试卷二考试时间共计120分钟，总分为100分。试卷各部分内容 和结构如下：</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第一部分 完成对话</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6"/>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本部分共有3段不完整的对话，设10道题。第一段对话设4个空格，下面有用来完成对话的4个选择项，要求考生根据对话内容将全部 4个选择项分别填人对话中的空格，使之完整。第二段和第三段对话 分别设3个空格，下面有用来完成对话的4个选择项，要求考生选择其 中的3个分别填人对话中的空格，使之完整。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本部分满分为10分，每题1分。考试时间为10分钟。</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第二部分 阅读理解</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本部分共有4篇短文，总长度为1 200词左右。每篇文章后设5道题，共20题。考生需在理解文章的基础上从为每个问题提供的4个选择项中选出一个最佳答案。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本部分满分为40分，每题2分。考试时间为35分钟。</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第三部分 词汇和语法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本部分共设20题，其中10题为词汇题，10题为语法题。每一题中有一个空白，要求考生在理解句意的基础上在4个选择项中选择一个最佳答案。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本部分满分为20分，每题1分。考试时间为20分钟。</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第四部分 英译汉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本部分可以是一篇长度为120个左右英文单词的短文，要求考生翻译全文；也可以是一个较长的段落，要求考生翻译其中带有下划线的5个句子。要求译文意思准确，文字通顺。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本部分满分为15分，考试时间为25分钟。</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第五部分 短文写作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本部分可要求考生写一篇常见的应用文，也可用提纲、情景或图表做提示，要求考生说明或论述一个一般性话题，文章长度不低于100个英文单词。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本部分满分为15分，考试时间为30分钟。</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textAlignment w:val="auto"/>
        <w:rPr>
          <w:rFonts w:hint="eastAsia" w:ascii="黑体" w:hAnsi="黑体" w:eastAsia="黑体" w:cs="黑体"/>
          <w:b w:val="0"/>
          <w:bCs/>
          <w:color w:val="auto"/>
          <w:sz w:val="32"/>
          <w:szCs w:val="32"/>
        </w:rPr>
      </w:pPr>
      <w:r>
        <w:rPr>
          <w:rStyle w:val="9"/>
          <w:rFonts w:hint="eastAsia" w:ascii="黑体" w:hAnsi="黑体" w:eastAsia="黑体" w:cs="黑体"/>
          <w:b w:val="0"/>
          <w:bCs/>
          <w:i w:val="0"/>
          <w:iCs w:val="0"/>
          <w:caps w:val="0"/>
          <w:color w:val="auto"/>
          <w:spacing w:val="0"/>
          <w:sz w:val="32"/>
          <w:szCs w:val="32"/>
          <w:shd w:val="clear" w:fill="FFFFFF"/>
        </w:rPr>
        <w:t>四、试卷题型、题量、记分及答题时间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成人高等教育非英语专业学士学位英语水平考试的题型、题量、记分及答题时间如下：</w:t>
      </w:r>
    </w:p>
    <w:tbl>
      <w:tblPr>
        <w:tblStyle w:val="7"/>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30"/>
        <w:gridCol w:w="2250"/>
        <w:gridCol w:w="1365"/>
        <w:gridCol w:w="1680"/>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2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序号</w:t>
            </w:r>
          </w:p>
        </w:tc>
        <w:tc>
          <w:tcPr>
            <w:tcW w:w="22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题型</w:t>
            </w:r>
          </w:p>
        </w:tc>
        <w:tc>
          <w:tcPr>
            <w:tcW w:w="13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题量</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记分</w:t>
            </w:r>
          </w:p>
        </w:tc>
        <w:tc>
          <w:tcPr>
            <w:tcW w:w="27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答题时间（分钟）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Ⅰ</w:t>
            </w:r>
          </w:p>
        </w:tc>
        <w:tc>
          <w:tcPr>
            <w:tcW w:w="22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完成对话</w:t>
            </w:r>
          </w:p>
        </w:tc>
        <w:tc>
          <w:tcPr>
            <w:tcW w:w="13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10</w:t>
            </w:r>
          </w:p>
        </w:tc>
        <w:tc>
          <w:tcPr>
            <w:tcW w:w="16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10</w:t>
            </w:r>
          </w:p>
        </w:tc>
        <w:tc>
          <w:tcPr>
            <w:tcW w:w="27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Ⅱ</w:t>
            </w:r>
          </w:p>
        </w:tc>
        <w:tc>
          <w:tcPr>
            <w:tcW w:w="22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阅读理解</w:t>
            </w:r>
          </w:p>
        </w:tc>
        <w:tc>
          <w:tcPr>
            <w:tcW w:w="13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20</w:t>
            </w:r>
          </w:p>
        </w:tc>
        <w:tc>
          <w:tcPr>
            <w:tcW w:w="16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40</w:t>
            </w:r>
          </w:p>
        </w:tc>
        <w:tc>
          <w:tcPr>
            <w:tcW w:w="27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Ⅲ</w:t>
            </w:r>
          </w:p>
        </w:tc>
        <w:tc>
          <w:tcPr>
            <w:tcW w:w="22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词汇和语法</w:t>
            </w:r>
          </w:p>
        </w:tc>
        <w:tc>
          <w:tcPr>
            <w:tcW w:w="13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20</w:t>
            </w:r>
          </w:p>
        </w:tc>
        <w:tc>
          <w:tcPr>
            <w:tcW w:w="16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20</w:t>
            </w:r>
          </w:p>
        </w:tc>
        <w:tc>
          <w:tcPr>
            <w:tcW w:w="27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Ⅳ</w:t>
            </w:r>
          </w:p>
        </w:tc>
        <w:tc>
          <w:tcPr>
            <w:tcW w:w="22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英译汉</w:t>
            </w:r>
          </w:p>
        </w:tc>
        <w:tc>
          <w:tcPr>
            <w:tcW w:w="13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1</w:t>
            </w:r>
          </w:p>
        </w:tc>
        <w:tc>
          <w:tcPr>
            <w:tcW w:w="16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15</w:t>
            </w:r>
          </w:p>
        </w:tc>
        <w:tc>
          <w:tcPr>
            <w:tcW w:w="27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Ⅴ</w:t>
            </w:r>
          </w:p>
        </w:tc>
        <w:tc>
          <w:tcPr>
            <w:tcW w:w="22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短文写作</w:t>
            </w:r>
          </w:p>
        </w:tc>
        <w:tc>
          <w:tcPr>
            <w:tcW w:w="13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1</w:t>
            </w:r>
          </w:p>
        </w:tc>
        <w:tc>
          <w:tcPr>
            <w:tcW w:w="16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15</w:t>
            </w:r>
          </w:p>
        </w:tc>
        <w:tc>
          <w:tcPr>
            <w:tcW w:w="27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总计</w:t>
            </w:r>
          </w:p>
        </w:tc>
        <w:tc>
          <w:tcPr>
            <w:tcW w:w="22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auto"/>
              <w:rPr>
                <w:color w:val="auto"/>
              </w:rPr>
            </w:pPr>
          </w:p>
        </w:tc>
        <w:tc>
          <w:tcPr>
            <w:tcW w:w="13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52</w:t>
            </w:r>
          </w:p>
        </w:tc>
        <w:tc>
          <w:tcPr>
            <w:tcW w:w="16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100</w:t>
            </w:r>
          </w:p>
        </w:tc>
        <w:tc>
          <w:tcPr>
            <w:tcW w:w="27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color w:val="auto"/>
              </w:rPr>
            </w:pPr>
            <w:r>
              <w:rPr>
                <w:rFonts w:hint="eastAsia" w:ascii="宋体" w:hAnsi="宋体" w:eastAsia="宋体" w:cs="宋体"/>
                <w:color w:val="auto"/>
                <w:spacing w:val="0"/>
                <w:sz w:val="31"/>
                <w:szCs w:val="31"/>
                <w:shd w:val="clear" w:fill="FFFFFF"/>
              </w:rPr>
              <w:t>120</w:t>
            </w:r>
          </w:p>
        </w:tc>
      </w:tr>
    </w:tbl>
    <w:p>
      <w:pPr>
        <w:keepNext w:val="0"/>
        <w:keepLines w:val="0"/>
        <w:pageBreakBefore w:val="0"/>
        <w:widowControl w:val="0"/>
        <w:kinsoku/>
        <w:wordWrap/>
        <w:overflowPunct/>
        <w:topLinePunct w:val="0"/>
        <w:autoSpaceDE/>
        <w:autoSpaceDN/>
        <w:bidi w:val="0"/>
        <w:adjustRightInd/>
        <w:snapToGrid/>
        <w:textAlignment w:val="auto"/>
        <w:rPr>
          <w:color w:val="auto"/>
        </w:rPr>
      </w:pPr>
    </w:p>
    <w:sectPr>
      <w:footerReference r:id="rId3" w:type="default"/>
      <w:pgSz w:w="11906" w:h="16838"/>
      <w:pgMar w:top="2098" w:right="1327" w:bottom="1587"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D7D87"/>
    <w:rsid w:val="22903133"/>
    <w:rsid w:val="3E89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2021-11-04T07:44:00Z</dcterms:created>
  <dc:creator>Administrator</dc:creator>
  <cp:lastModifiedBy>余一鸣</cp:lastModifiedBy>
  <dcterms:modified xsi:type="dcterms:W3CDTF">2022-03-15T09:29:29Z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A576631CA1384A5E8099B5B0DA4929AB</vt:lpwstr>
  </property>
</Properties>
</file>